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16720" w14:textId="1EE64EB4" w:rsidR="00A8156F" w:rsidRPr="00A8156F" w:rsidRDefault="00654A93" w:rsidP="00C179A5">
      <w:pPr>
        <w:pStyle w:val="Akapitzlist"/>
        <w:numPr>
          <w:ilvl w:val="0"/>
          <w:numId w:val="1"/>
        </w:numPr>
        <w:ind w:left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Zakres prac oraz wymagane przez Zamawiającego parametry techniczne </w:t>
      </w:r>
      <w:r w:rsidR="00A8156F" w:rsidRPr="00A8156F">
        <w:rPr>
          <w:b/>
          <w:bCs/>
          <w:sz w:val="28"/>
          <w:szCs w:val="28"/>
        </w:rPr>
        <w:t>regałów archiwum</w:t>
      </w:r>
      <w:r>
        <w:rPr>
          <w:b/>
          <w:bCs/>
          <w:sz w:val="28"/>
          <w:szCs w:val="28"/>
        </w:rPr>
        <w:t>.</w:t>
      </w:r>
      <w:r w:rsidR="00A8156F" w:rsidRPr="00A8156F">
        <w:rPr>
          <w:b/>
          <w:bCs/>
          <w:sz w:val="28"/>
          <w:szCs w:val="28"/>
        </w:rPr>
        <w:t xml:space="preserve"> </w:t>
      </w:r>
    </w:p>
    <w:p w14:paraId="5392040F" w14:textId="5E7A1856" w:rsidR="00A8156F" w:rsidRDefault="00D0645E" w:rsidP="00C179A5">
      <w:pPr>
        <w:ind w:firstLine="284"/>
        <w:jc w:val="both"/>
      </w:pPr>
      <w:r>
        <w:t>Regały należy rozmieścić zgodnie z poniższym opisem oraz schematem stanowiącym załącznik (zał. 1) do  niniejszego dokumentu:</w:t>
      </w:r>
    </w:p>
    <w:p w14:paraId="793AAB68" w14:textId="77777777" w:rsidR="00A8156F" w:rsidRPr="00A8156F" w:rsidRDefault="00A8156F" w:rsidP="00654A93">
      <w:pPr>
        <w:pStyle w:val="Akapitzlist"/>
        <w:numPr>
          <w:ilvl w:val="0"/>
          <w:numId w:val="3"/>
        </w:numPr>
        <w:jc w:val="both"/>
      </w:pPr>
      <w:r w:rsidRPr="00A8156F">
        <w:t>Przestrzeń „A” – 11 szt. regałów dwustronnych przesuwnych o głębokości 2x30cm. Długość poszczególnych regałów: 140cm. Kierunek przesuwania – wzdłuż ściany, zgodnie ze strzałkami na schemacie.</w:t>
      </w:r>
    </w:p>
    <w:p w14:paraId="5ACE9B48" w14:textId="77777777" w:rsidR="00A8156F" w:rsidRPr="00A8156F" w:rsidRDefault="00A8156F" w:rsidP="00654A93">
      <w:pPr>
        <w:pStyle w:val="Akapitzlist"/>
        <w:numPr>
          <w:ilvl w:val="0"/>
          <w:numId w:val="3"/>
        </w:numPr>
        <w:jc w:val="both"/>
      </w:pPr>
      <w:r w:rsidRPr="00A8156F">
        <w:t xml:space="preserve">Przestrzeń „B” – 1 szt. regał stacjonarny, jednostronny o głębokości 30cm, długości 600cm </w:t>
      </w:r>
    </w:p>
    <w:p w14:paraId="43280594" w14:textId="77777777" w:rsidR="00A8156F" w:rsidRPr="00A8156F" w:rsidRDefault="00A8156F" w:rsidP="00654A93">
      <w:pPr>
        <w:pStyle w:val="Akapitzlist"/>
        <w:numPr>
          <w:ilvl w:val="0"/>
          <w:numId w:val="3"/>
        </w:numPr>
        <w:jc w:val="both"/>
      </w:pPr>
      <w:r w:rsidRPr="00A8156F">
        <w:t>Przestrzeń „C” – 1 szt. regał przesuwny, dwustronny o głębokości 2x30cm. długość regału 600cm. Kierunek przesuwania – zgodnie ze strzałkami na schemacie.</w:t>
      </w:r>
    </w:p>
    <w:p w14:paraId="4900E695" w14:textId="4FFF1721" w:rsidR="00A8156F" w:rsidRDefault="00A8156F" w:rsidP="00654A93">
      <w:pPr>
        <w:jc w:val="both"/>
      </w:pPr>
      <w:r>
        <w:t>Regały muszą spełniać poniższe wymagania:</w:t>
      </w:r>
    </w:p>
    <w:p w14:paraId="570EE1D2" w14:textId="2B6818F4" w:rsidR="00A8156F" w:rsidRDefault="00A8156F" w:rsidP="00654A93">
      <w:pPr>
        <w:pStyle w:val="Akapitzlist"/>
        <w:numPr>
          <w:ilvl w:val="0"/>
          <w:numId w:val="2"/>
        </w:numPr>
        <w:jc w:val="both"/>
      </w:pPr>
      <w:r>
        <w:t>Wysokość całkowita wszystkich regałów: 198cm</w:t>
      </w:r>
    </w:p>
    <w:p w14:paraId="70FA186B" w14:textId="77777777" w:rsidR="00A8156F" w:rsidRDefault="00A8156F" w:rsidP="00654A93">
      <w:pPr>
        <w:pStyle w:val="Akapitzlist"/>
        <w:numPr>
          <w:ilvl w:val="0"/>
          <w:numId w:val="2"/>
        </w:numPr>
        <w:jc w:val="both"/>
      </w:pPr>
      <w:r>
        <w:t xml:space="preserve">Wymagana minimalna nośność półek: 80kg </w:t>
      </w:r>
    </w:p>
    <w:p w14:paraId="4587A6A0" w14:textId="77777777" w:rsidR="00A8156F" w:rsidRDefault="00A8156F" w:rsidP="00654A93">
      <w:pPr>
        <w:pStyle w:val="Akapitzlist"/>
        <w:numPr>
          <w:ilvl w:val="0"/>
          <w:numId w:val="2"/>
        </w:numPr>
        <w:jc w:val="both"/>
      </w:pPr>
      <w:r>
        <w:t>Sterowanie: ręczne (korby)</w:t>
      </w:r>
    </w:p>
    <w:p w14:paraId="00101561" w14:textId="77777777" w:rsidR="00A8156F" w:rsidRDefault="00A8156F" w:rsidP="00654A93">
      <w:pPr>
        <w:pStyle w:val="Akapitzlist"/>
        <w:numPr>
          <w:ilvl w:val="0"/>
          <w:numId w:val="2"/>
        </w:numPr>
        <w:jc w:val="both"/>
      </w:pPr>
      <w:r>
        <w:t>Pozostałe wymagania:</w:t>
      </w:r>
    </w:p>
    <w:p w14:paraId="0410E822" w14:textId="03D9A7BF" w:rsidR="00A8156F" w:rsidRDefault="00A8156F" w:rsidP="00654A93">
      <w:pPr>
        <w:pStyle w:val="Akapitzlist"/>
        <w:ind w:left="1080"/>
        <w:jc w:val="both"/>
      </w:pPr>
      <w:r>
        <w:t xml:space="preserve">- </w:t>
      </w:r>
      <w:r w:rsidR="00227667">
        <w:tab/>
      </w:r>
      <w:r>
        <w:t>ilość poziomów półek użytkowych w każdym regale – 5</w:t>
      </w:r>
    </w:p>
    <w:p w14:paraId="17A6152E" w14:textId="186A0DB9" w:rsidR="00A8156F" w:rsidRDefault="00A8156F" w:rsidP="00654A93">
      <w:pPr>
        <w:pStyle w:val="Akapitzlist"/>
        <w:ind w:left="1080"/>
        <w:jc w:val="both"/>
      </w:pPr>
      <w:r>
        <w:t xml:space="preserve">- </w:t>
      </w:r>
      <w:r w:rsidR="00227667">
        <w:tab/>
      </w:r>
      <w:r>
        <w:t>możliwość regulacji wysokości półek</w:t>
      </w:r>
    </w:p>
    <w:p w14:paraId="59874904" w14:textId="16676A69" w:rsidR="00A8156F" w:rsidRDefault="00A8156F" w:rsidP="00654A93">
      <w:pPr>
        <w:pStyle w:val="Akapitzlist"/>
        <w:ind w:left="1080"/>
        <w:jc w:val="both"/>
      </w:pPr>
      <w:r>
        <w:t xml:space="preserve">- </w:t>
      </w:r>
      <w:r w:rsidR="00227667">
        <w:tab/>
      </w:r>
      <w:r>
        <w:t xml:space="preserve">zabezpieczenie anty-wykolejeniowe na każdym regale przesuwnym </w:t>
      </w:r>
    </w:p>
    <w:p w14:paraId="3608F4CA" w14:textId="4A360B97" w:rsidR="00A8156F" w:rsidRDefault="00A8156F" w:rsidP="00C179A5">
      <w:pPr>
        <w:pStyle w:val="Akapitzlist"/>
        <w:ind w:left="1410" w:hanging="330"/>
        <w:jc w:val="both"/>
      </w:pPr>
      <w:r>
        <w:t xml:space="preserve">- </w:t>
      </w:r>
      <w:r w:rsidR="00227667">
        <w:tab/>
      </w:r>
      <w:r>
        <w:t xml:space="preserve">ostatnia korba w </w:t>
      </w:r>
      <w:r w:rsidRPr="00A8156F">
        <w:rPr>
          <w:b/>
          <w:bCs/>
        </w:rPr>
        <w:t>przestrzeni A</w:t>
      </w:r>
      <w:r>
        <w:t xml:space="preserve"> oraz korba regału w </w:t>
      </w:r>
      <w:r w:rsidRPr="00A8156F">
        <w:rPr>
          <w:b/>
          <w:bCs/>
        </w:rPr>
        <w:t>przestrzeni C</w:t>
      </w:r>
      <w:r>
        <w:t xml:space="preserve"> zabezpieczone poprzez zastosowanie zamka na zamek z kluczem</w:t>
      </w:r>
    </w:p>
    <w:p w14:paraId="5F7CB688" w14:textId="7C650321" w:rsidR="00A8156F" w:rsidRDefault="00A8156F" w:rsidP="00654A93">
      <w:pPr>
        <w:pStyle w:val="Akapitzlist"/>
        <w:ind w:left="1080"/>
        <w:jc w:val="both"/>
      </w:pPr>
      <w:r>
        <w:t xml:space="preserve">- </w:t>
      </w:r>
      <w:r w:rsidR="00227667">
        <w:tab/>
      </w:r>
      <w:r>
        <w:t>pomiędzy regałami stężenia krzyżowe jako usztywnienie</w:t>
      </w:r>
    </w:p>
    <w:p w14:paraId="3C4E30AE" w14:textId="78B61588" w:rsidR="00A8156F" w:rsidRDefault="00A8156F" w:rsidP="00C179A5">
      <w:pPr>
        <w:pStyle w:val="Akapitzlist"/>
        <w:ind w:left="1410" w:hanging="330"/>
        <w:jc w:val="both"/>
      </w:pPr>
      <w:r>
        <w:t xml:space="preserve">- </w:t>
      </w:r>
      <w:r w:rsidR="00227667">
        <w:tab/>
      </w:r>
      <w:r>
        <w:t>torowisko – szyny nawierzchniowe ze specjalnymi ocynkowanymi najazdami</w:t>
      </w:r>
      <w:r w:rsidR="00EE153B">
        <w:t xml:space="preserve"> mocowane do podłoża</w:t>
      </w:r>
    </w:p>
    <w:p w14:paraId="1CB1B056" w14:textId="57F1F7A3" w:rsidR="00A8156F" w:rsidRDefault="00A8156F" w:rsidP="00654A93">
      <w:pPr>
        <w:pStyle w:val="Akapitzlist"/>
        <w:ind w:left="1080"/>
        <w:jc w:val="both"/>
      </w:pPr>
      <w:r>
        <w:t xml:space="preserve">- </w:t>
      </w:r>
      <w:r w:rsidR="00227667">
        <w:tab/>
      </w:r>
      <w:r w:rsidR="006D62AC">
        <w:t xml:space="preserve">regał stacjonarny </w:t>
      </w:r>
      <w:r w:rsidR="00D0645E">
        <w:t xml:space="preserve">- </w:t>
      </w:r>
      <w:r w:rsidR="006D62AC">
        <w:t>mocowany trwale do podłoża</w:t>
      </w:r>
    </w:p>
    <w:p w14:paraId="3A122D65" w14:textId="500505E1" w:rsidR="006D62AC" w:rsidRDefault="006D62AC" w:rsidP="00C179A5">
      <w:pPr>
        <w:pStyle w:val="Akapitzlist"/>
        <w:ind w:left="1410" w:hanging="330"/>
        <w:jc w:val="both"/>
      </w:pPr>
      <w:r>
        <w:t>-</w:t>
      </w:r>
      <w:r w:rsidR="00227667">
        <w:t xml:space="preserve"> </w:t>
      </w:r>
      <w:r w:rsidR="00227667">
        <w:tab/>
      </w:r>
      <w:r>
        <w:t>w regałach jezdnych wszystkie korby z wyposażone w blokady bezpieczeństwa</w:t>
      </w:r>
    </w:p>
    <w:p w14:paraId="2FDCB3F1" w14:textId="6BBF6B1E" w:rsidR="006D62AC" w:rsidRDefault="006D62AC" w:rsidP="00654A93">
      <w:pPr>
        <w:pStyle w:val="Akapitzlist"/>
        <w:ind w:left="1080"/>
        <w:jc w:val="both"/>
      </w:pPr>
      <w:r>
        <w:t xml:space="preserve">- </w:t>
      </w:r>
      <w:r w:rsidR="00227667">
        <w:tab/>
      </w:r>
      <w:r w:rsidR="00090D8B">
        <w:t>każdy panel frontowy wyposażony w etykiety do opisu</w:t>
      </w:r>
    </w:p>
    <w:p w14:paraId="798B4389" w14:textId="297D4AB2" w:rsidR="009E09E8" w:rsidRDefault="009E09E8" w:rsidP="00654A93">
      <w:pPr>
        <w:pStyle w:val="Akapitzlist"/>
        <w:ind w:left="1080"/>
        <w:jc w:val="both"/>
      </w:pPr>
      <w:r>
        <w:t xml:space="preserve">- </w:t>
      </w:r>
      <w:r w:rsidR="00227667">
        <w:tab/>
      </w:r>
      <w:r>
        <w:t>kolor mebli: np. popiel RAL 7035</w:t>
      </w:r>
    </w:p>
    <w:p w14:paraId="48B7189D" w14:textId="12FCF193" w:rsidR="00090D8B" w:rsidRPr="00090D8B" w:rsidRDefault="00090D8B" w:rsidP="00654A93">
      <w:pPr>
        <w:jc w:val="both"/>
        <w:rPr>
          <w:b/>
          <w:bCs/>
          <w:sz w:val="28"/>
          <w:szCs w:val="28"/>
        </w:rPr>
      </w:pPr>
      <w:r w:rsidRPr="00090D8B">
        <w:rPr>
          <w:b/>
          <w:bCs/>
          <w:sz w:val="28"/>
          <w:szCs w:val="28"/>
        </w:rPr>
        <w:t>2. Pozostałe warunki</w:t>
      </w:r>
    </w:p>
    <w:p w14:paraId="131F5DBA" w14:textId="6B6B56F5" w:rsidR="00090D8B" w:rsidRDefault="00090D8B" w:rsidP="004B405D">
      <w:pPr>
        <w:pStyle w:val="Akapitzlist"/>
        <w:numPr>
          <w:ilvl w:val="1"/>
          <w:numId w:val="6"/>
        </w:numPr>
        <w:jc w:val="both"/>
      </w:pPr>
      <w:r>
        <w:t xml:space="preserve">Przed złożeniem oferty Zamawiający zaleca Oferentom dokonania wizji lokalnej miejsca realizacji zamówienia. Ocena równości podłoża pod regały leży po stronie Oferenta. Wszelkie </w:t>
      </w:r>
      <w:r w:rsidR="00654A93">
        <w:t>ewentualne zastrzeżenia co do równości podłoża zgłoszone po zawarciu umowy nie będą stanowiły podstawy roszczeń wobec Zamawiającego, ani nie będą uprawniały Wykonawcy do żądania dodatkowego wynagrodzenia ani zmiany zakresu prac.</w:t>
      </w:r>
    </w:p>
    <w:p w14:paraId="4E5F8937" w14:textId="180AD661" w:rsidR="004B405D" w:rsidRDefault="004B405D" w:rsidP="004B405D">
      <w:pPr>
        <w:pStyle w:val="Akapitzlist"/>
        <w:numPr>
          <w:ilvl w:val="1"/>
          <w:numId w:val="6"/>
        </w:numPr>
        <w:jc w:val="both"/>
      </w:pPr>
      <w:r>
        <w:t xml:space="preserve">Cena oferty musi uwzględniać wszelkie koszty niezbędne do pełnej realizacji przedmiotu zamówienia, w tym w szczególności: koszty dostawy, transportu, </w:t>
      </w:r>
      <w:r>
        <w:lastRenderedPageBreak/>
        <w:t>rozładunku, wniesienia, montażu w docelowej lokalizacji a także wszelkie inne koszty towarzyszące wykonaniu zamówienia w miejscu wska</w:t>
      </w:r>
      <w:r w:rsidR="00701D4B">
        <w:t>z</w:t>
      </w:r>
      <w:r>
        <w:t>anym przez Zamawiającego</w:t>
      </w:r>
    </w:p>
    <w:p w14:paraId="63F5DB0E" w14:textId="0D0F1E52" w:rsidR="004B405D" w:rsidRDefault="00701D4B" w:rsidP="004B405D">
      <w:pPr>
        <w:pStyle w:val="Akapitzlist"/>
        <w:numPr>
          <w:ilvl w:val="1"/>
          <w:numId w:val="6"/>
        </w:numPr>
        <w:jc w:val="both"/>
      </w:pPr>
      <w:r>
        <w:t xml:space="preserve">Minimalny wymagany okres gwarancji wynosi 24 miesiące </w:t>
      </w:r>
      <w:r w:rsidR="004B405D">
        <w:t xml:space="preserve"> </w:t>
      </w:r>
    </w:p>
    <w:p w14:paraId="10A3C4F3" w14:textId="77777777" w:rsidR="00A8156F" w:rsidRDefault="00A8156F" w:rsidP="006E440A">
      <w:pPr>
        <w:jc w:val="both"/>
      </w:pPr>
    </w:p>
    <w:p w14:paraId="339328BA" w14:textId="0E5576CD" w:rsidR="006E440A" w:rsidRDefault="006E440A" w:rsidP="006E440A">
      <w:pPr>
        <w:jc w:val="both"/>
      </w:pPr>
      <w:r>
        <w:t>Załączniki:</w:t>
      </w:r>
    </w:p>
    <w:p w14:paraId="51BCE22B" w14:textId="72039B70" w:rsidR="006E440A" w:rsidRDefault="006E440A" w:rsidP="006E440A">
      <w:pPr>
        <w:pStyle w:val="Akapitzlist"/>
        <w:ind w:left="426"/>
        <w:jc w:val="both"/>
      </w:pPr>
      <w:r>
        <w:t>Zał. nr 1 – schemat rozmieszczenia</w:t>
      </w:r>
    </w:p>
    <w:p w14:paraId="622738D9" w14:textId="34F70BF0" w:rsidR="006E440A" w:rsidRDefault="006E440A" w:rsidP="006E440A">
      <w:pPr>
        <w:pStyle w:val="Akapitzlist"/>
        <w:ind w:left="426"/>
        <w:jc w:val="both"/>
      </w:pPr>
      <w:r>
        <w:t>Zał. nr 2 – zestawienie elementów</w:t>
      </w:r>
    </w:p>
    <w:p w14:paraId="7446C414" w14:textId="77777777" w:rsidR="00A8156F" w:rsidRDefault="00A8156F" w:rsidP="00654A93">
      <w:pPr>
        <w:pStyle w:val="Akapitzlist"/>
        <w:jc w:val="both"/>
      </w:pPr>
    </w:p>
    <w:sectPr w:rsidR="00A815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647C4"/>
    <w:multiLevelType w:val="hybridMultilevel"/>
    <w:tmpl w:val="9BF20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E33F3"/>
    <w:multiLevelType w:val="hybridMultilevel"/>
    <w:tmpl w:val="9E522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C1214F"/>
    <w:multiLevelType w:val="multilevel"/>
    <w:tmpl w:val="3E0E1E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55C07F2F"/>
    <w:multiLevelType w:val="hybridMultilevel"/>
    <w:tmpl w:val="94E48474"/>
    <w:lvl w:ilvl="0" w:tplc="3A7644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741D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06165901">
    <w:abstractNumId w:val="1"/>
  </w:num>
  <w:num w:numId="2" w16cid:durableId="150298527">
    <w:abstractNumId w:val="3"/>
  </w:num>
  <w:num w:numId="3" w16cid:durableId="1970891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2618680">
    <w:abstractNumId w:val="0"/>
  </w:num>
  <w:num w:numId="5" w16cid:durableId="666985270">
    <w:abstractNumId w:val="4"/>
  </w:num>
  <w:num w:numId="6" w16cid:durableId="11921142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56F"/>
    <w:rsid w:val="00090D8B"/>
    <w:rsid w:val="00227667"/>
    <w:rsid w:val="004B405D"/>
    <w:rsid w:val="00654A93"/>
    <w:rsid w:val="006D62AC"/>
    <w:rsid w:val="006E440A"/>
    <w:rsid w:val="00701D4B"/>
    <w:rsid w:val="009E09E8"/>
    <w:rsid w:val="00A8156F"/>
    <w:rsid w:val="00C179A5"/>
    <w:rsid w:val="00D0645E"/>
    <w:rsid w:val="00EE153B"/>
    <w:rsid w:val="00EE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2E5FF"/>
  <w15:chartTrackingRefBased/>
  <w15:docId w15:val="{67926361-9B32-46AD-8949-A01175F72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15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15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5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15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15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15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15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15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15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15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15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5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156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156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15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15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15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15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15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15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15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15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15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15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156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156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5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56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15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Rymarczyk</dc:creator>
  <cp:keywords/>
  <dc:description/>
  <cp:lastModifiedBy>Mateusz Rymarczyk</cp:lastModifiedBy>
  <cp:revision>9</cp:revision>
  <dcterms:created xsi:type="dcterms:W3CDTF">2025-06-06T06:20:00Z</dcterms:created>
  <dcterms:modified xsi:type="dcterms:W3CDTF">2025-06-06T10:17:00Z</dcterms:modified>
</cp:coreProperties>
</file>